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F8BB" w14:textId="7E3B8F04" w:rsidR="00605F2D" w:rsidRDefault="00605F2D" w:rsidP="00605F2D">
      <w:pPr>
        <w:pStyle w:val="Heading1"/>
      </w:pPr>
      <w:r>
        <w:t>Letter to Co-operative Bank</w:t>
      </w:r>
    </w:p>
    <w:p w14:paraId="7F521B15" w14:textId="77777777" w:rsidR="00605F2D" w:rsidRDefault="00605F2D" w:rsidP="00605F2D">
      <w:r>
        <w:t xml:space="preserve">Name </w:t>
      </w:r>
      <w:r>
        <w:br/>
      </w:r>
      <w:r>
        <w:t>Address</w:t>
      </w:r>
    </w:p>
    <w:p w14:paraId="4AD60CEF" w14:textId="77777777" w:rsidR="00605F2D" w:rsidRDefault="00605F2D" w:rsidP="00605F2D">
      <w:r>
        <w:t xml:space="preserve">Harefield, Uxbridge, UB9 </w:t>
      </w:r>
      <w:r>
        <w:br/>
      </w:r>
      <w:r>
        <w:t xml:space="preserve">Email: </w:t>
      </w:r>
    </w:p>
    <w:p w14:paraId="17092F5D" w14:textId="1AF7F2C1" w:rsidR="00605F2D" w:rsidRDefault="00605F2D" w:rsidP="00605F2D">
      <w:r>
        <w:t>1</w:t>
      </w:r>
      <w:r w:rsidRPr="00605F2D">
        <w:rPr>
          <w:vertAlign w:val="superscript"/>
        </w:rPr>
        <w:t>st</w:t>
      </w:r>
      <w:r>
        <w:t xml:space="preserve"> December </w:t>
      </w:r>
      <w:r>
        <w:t>2025</w:t>
      </w:r>
      <w:r>
        <w:br/>
      </w:r>
      <w:r>
        <w:br/>
        <w:t>The Co-operative Bank plc</w:t>
      </w:r>
      <w:r>
        <w:br/>
        <w:t>Charity &amp; Not-for-Profit Banking Division</w:t>
      </w:r>
      <w:r>
        <w:br/>
        <w:t>Co. Reg No. 00990937</w:t>
      </w:r>
    </w:p>
    <w:p w14:paraId="566AC326" w14:textId="77777777" w:rsidR="00605F2D" w:rsidRDefault="00605F2D" w:rsidP="00605F2D">
      <w:r>
        <w:t>2 Cathedral Square</w:t>
      </w:r>
    </w:p>
    <w:p w14:paraId="58CD63C4" w14:textId="77777777" w:rsidR="00605F2D" w:rsidRDefault="00605F2D" w:rsidP="00605F2D">
      <w:proofErr w:type="gramStart"/>
      <w:r>
        <w:t>Cloth</w:t>
      </w:r>
      <w:proofErr w:type="gramEnd"/>
      <w:r>
        <w:t xml:space="preserve"> Market</w:t>
      </w:r>
    </w:p>
    <w:p w14:paraId="5A7943AC" w14:textId="77777777" w:rsidR="00605F2D" w:rsidRDefault="00605F2D" w:rsidP="00605F2D">
      <w:r>
        <w:t>Newcastle Upon Tyne</w:t>
      </w:r>
    </w:p>
    <w:p w14:paraId="792605C8" w14:textId="77777777" w:rsidR="00605F2D" w:rsidRDefault="00605F2D" w:rsidP="00605F2D">
      <w:r>
        <w:t>NE1 1EE</w:t>
      </w:r>
      <w:r>
        <w:br/>
      </w:r>
      <w:r>
        <w:br/>
        <w:t>Subject: Concerns Regarding KSIMC (Hujjat Group) – Governance Failures and Risks to £20m Lending Facility</w:t>
      </w:r>
    </w:p>
    <w:p w14:paraId="42B8C3DD" w14:textId="0971A5F1" w:rsidR="00605F2D" w:rsidRDefault="00605F2D" w:rsidP="00605F2D">
      <w:r w:rsidRPr="00433C0B">
        <w:rPr>
          <w:b/>
          <w:bCs/>
        </w:rPr>
        <w:t>Title Ref No. AGL 8939</w:t>
      </w:r>
      <w:r>
        <w:br/>
      </w:r>
      <w:r>
        <w:br/>
        <w:t>Dear Sir/Madam,</w:t>
      </w:r>
      <w:r>
        <w:br/>
      </w:r>
      <w:r>
        <w:br/>
        <w:t xml:space="preserve">I write to bring to your urgent attention serious findings made by the High Court in Jaffer v Jaffer [2024] EWHC 135 (Ch) concerning the Khoja Shia </w:t>
      </w:r>
      <w:proofErr w:type="spellStart"/>
      <w:r>
        <w:t>Ithna</w:t>
      </w:r>
      <w:proofErr w:type="spellEnd"/>
      <w:r>
        <w:t xml:space="preserve"> </w:t>
      </w:r>
      <w:proofErr w:type="spellStart"/>
      <w:r>
        <w:t>Asheri</w:t>
      </w:r>
      <w:proofErr w:type="spellEnd"/>
      <w:r>
        <w:t xml:space="preserve"> Muslim Community (KSIMC, also known as the Hujjat Group), an </w:t>
      </w:r>
      <w:proofErr w:type="spellStart"/>
      <w:r>
        <w:t>organisation</w:t>
      </w:r>
      <w:proofErr w:type="spellEnd"/>
      <w:r>
        <w:t xml:space="preserve"> to which the Co-operative Bank has reportedly extended lending facilities in the region of £20 million.</w:t>
      </w:r>
      <w:r>
        <w:br/>
      </w:r>
      <w:r>
        <w:br/>
        <w:t>The judgment exposed systemic governance and compliance failures in relation to donations exceeding £34 million from a single anonymous donor, including:</w:t>
      </w:r>
      <w:r>
        <w:br/>
      </w:r>
      <w:r>
        <w:br/>
        <w:t>- The deliberate obscuring of the source and jurisdiction of funds, to the extent that even the Treasurer admitted he did not know from where the donations originated (para 401).</w:t>
      </w:r>
      <w:r>
        <w:br/>
        <w:t>- A complete absence of reporting to the Charity’s governing council regarding these donations, leaving tens of millions unmonitored (para 392).</w:t>
      </w:r>
      <w:r>
        <w:br/>
        <w:t>- The use of the Charity as a mere “post-box” to route funds from the Middle East back to Iraq and Lebanon without genuine oversight (para 398).</w:t>
      </w:r>
      <w:r>
        <w:br/>
        <w:t>- Criticism that risk assessments and due diligence were “too informal” for such high-risk transactions, with basic PEP and sanctions checks only introduced in 2019 (paras 385–386).</w:t>
      </w:r>
      <w:r>
        <w:br/>
      </w:r>
      <w:r>
        <w:br/>
        <w:t xml:space="preserve">The Court concluded that the intentional concealment of the donor’s role undermined accountability and </w:t>
      </w:r>
      <w:proofErr w:type="spellStart"/>
      <w:r>
        <w:t>fuelled</w:t>
      </w:r>
      <w:proofErr w:type="spellEnd"/>
      <w:r>
        <w:t xml:space="preserve"> mistrust within the community (para 403).</w:t>
      </w:r>
      <w:r>
        <w:br/>
      </w:r>
      <w:r>
        <w:lastRenderedPageBreak/>
        <w:br/>
        <w:t>These findings raise significant questions as to whether KSIMC’s trustees are capable of discharging their fiduciary and financial responsibilities, and whether they remain fit custodians of large-scale facilities such as those extended by the Co-operative Bank.</w:t>
      </w:r>
      <w:r>
        <w:br/>
      </w:r>
      <w:r>
        <w:br/>
        <w:t>As a lender with substantial financial exposure, the Bank may wish to:</w:t>
      </w:r>
      <w:r>
        <w:br/>
      </w:r>
      <w:r>
        <w:br/>
        <w:t>- Review its lending position in light of the judgment.</w:t>
      </w:r>
      <w:r>
        <w:br/>
        <w:t>- Require KSIMC to demonstrate immediate compliance with Charity Commission “Know Your Donor” guidance, as well as enhanced governance and audit measures.</w:t>
      </w:r>
      <w:r>
        <w:br/>
        <w:t>- Seek assurances from the Charity Commission, which I have separately written to, that urgent regulatory intervention is underway.</w:t>
      </w:r>
      <w:r>
        <w:br/>
      </w:r>
      <w:r>
        <w:br/>
        <w:t>This case is a matter of both financial risk and reputational concern. The Bank’s continued association with KSIMC, absent remedial action, could expose it to criticism for supporting a charity found by the High Court to have mismanaged donations on this scale.</w:t>
      </w:r>
      <w:r>
        <w:br/>
      </w:r>
      <w:r>
        <w:br/>
        <w:t>I trust this will be escalated promptly within your compliance and risk teams, and I would be grateful if you could confirm what steps the Bank intends to take.</w:t>
      </w:r>
      <w:r>
        <w:br/>
      </w:r>
      <w:r>
        <w:br/>
        <w:t>Yours faithfully,</w:t>
      </w:r>
      <w:r>
        <w:br/>
      </w:r>
      <w:r>
        <w:br/>
      </w:r>
    </w:p>
    <w:p w14:paraId="6DC39690" w14:textId="77777777" w:rsidR="006C19F7" w:rsidRDefault="006C19F7"/>
    <w:sectPr w:rsidR="006C1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7BAC"/>
    <w:multiLevelType w:val="multilevel"/>
    <w:tmpl w:val="C9229A50"/>
    <w:lvl w:ilvl="0">
      <w:start w:val="1"/>
      <w:numFmt w:val="decimal"/>
      <w:pStyle w:val="Heading2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Heading4"/>
      <w:lvlText w:val="%1.%2."/>
      <w:lvlJc w:val="left"/>
      <w:pPr>
        <w:ind w:left="720" w:hanging="363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" w15:restartNumberingAfterBreak="0">
    <w:nsid w:val="3ED120AC"/>
    <w:multiLevelType w:val="multilevel"/>
    <w:tmpl w:val="42C61C2C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3"/>
      </w:pPr>
      <w:rPr>
        <w:rFonts w:ascii="Arial" w:hAnsi="Arial" w:hint="default"/>
        <w:b/>
        <w:sz w:val="20"/>
      </w:rPr>
    </w:lvl>
    <w:lvl w:ilvl="2">
      <w:start w:val="1"/>
      <w:numFmt w:val="decimal"/>
      <w:lvlRestart w:val="0"/>
      <w:pStyle w:val="Heading5"/>
      <w:lvlText w:val="6.6.%3."/>
      <w:lvlJc w:val="left"/>
      <w:pPr>
        <w:ind w:left="720" w:hanging="36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" w15:restartNumberingAfterBreak="0">
    <w:nsid w:val="75411673"/>
    <w:multiLevelType w:val="hybridMultilevel"/>
    <w:tmpl w:val="04A48810"/>
    <w:lvl w:ilvl="0" w:tplc="578877F6">
      <w:start w:val="1"/>
      <w:numFmt w:val="decimal"/>
      <w:pStyle w:val="Heading7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4022706">
    <w:abstractNumId w:val="0"/>
    <w:lvlOverride w:ilvl="1">
      <w:lvl w:ilvl="1">
        <w:start w:val="1"/>
        <w:numFmt w:val="decimal"/>
        <w:pStyle w:val="Heading4"/>
        <w:lvlText w:val="%1.%2."/>
        <w:lvlJc w:val="left"/>
        <w:pPr>
          <w:ind w:left="363" w:hanging="363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 w16cid:durableId="60106307">
    <w:abstractNumId w:val="0"/>
    <w:lvlOverride w:ilvl="1">
      <w:lvl w:ilvl="1">
        <w:start w:val="1"/>
        <w:numFmt w:val="decimal"/>
        <w:pStyle w:val="Heading4"/>
        <w:lvlText w:val="%1.%2."/>
        <w:lvlJc w:val="left"/>
        <w:pPr>
          <w:ind w:left="363" w:hanging="363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" w16cid:durableId="1145126411">
    <w:abstractNumId w:val="1"/>
  </w:num>
  <w:num w:numId="4" w16cid:durableId="540017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2D"/>
    <w:rsid w:val="005003C5"/>
    <w:rsid w:val="00605F2D"/>
    <w:rsid w:val="006C19F7"/>
    <w:rsid w:val="009B0147"/>
    <w:rsid w:val="00AC1EAB"/>
    <w:rsid w:val="00D3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4744"/>
  <w15:chartTrackingRefBased/>
  <w15:docId w15:val="{50718D2C-1F06-467F-9512-727ABDE8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F2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19F7"/>
    <w:pPr>
      <w:keepNext/>
      <w:keepLines/>
      <w:pBdr>
        <w:bottom w:val="single" w:sz="4" w:space="1" w:color="0066FF"/>
      </w:pBd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0"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C19F7"/>
    <w:pPr>
      <w:keepNext/>
      <w:keepLines/>
      <w:numPr>
        <w:numId w:val="2"/>
      </w:numPr>
      <w:pBdr>
        <w:bottom w:val="single" w:sz="4" w:space="1" w:color="0066FF"/>
      </w:pBdr>
      <w:spacing w:before="120" w:after="120" w:line="240" w:lineRule="auto"/>
      <w:outlineLvl w:val="1"/>
    </w:pPr>
    <w:rPr>
      <w:rFonts w:ascii="Arial" w:eastAsia="Times New Roman" w:hAnsi="Arial" w:cs="Times New Roman"/>
      <w:b/>
      <w:bCs/>
      <w:sz w:val="20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6C19F7"/>
    <w:pPr>
      <w:keepNext/>
      <w:keepLines/>
      <w:spacing w:after="0" w:line="240" w:lineRule="auto"/>
      <w:ind w:left="33" w:right="175"/>
      <w:outlineLvl w:val="2"/>
    </w:pPr>
    <w:rPr>
      <w:rFonts w:ascii="Arial" w:eastAsia="Times New Roman" w:hAnsi="Arial" w:cs="Times New Roman"/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6C19F7"/>
    <w:pPr>
      <w:numPr>
        <w:ilvl w:val="1"/>
        <w:numId w:val="2"/>
      </w:numPr>
      <w:spacing w:after="0" w:line="240" w:lineRule="auto"/>
      <w:outlineLvl w:val="3"/>
    </w:pPr>
    <w:rPr>
      <w:rFonts w:ascii="Arial" w:eastAsia="Calibri" w:hAnsi="Arial" w:cs="Times New Roman"/>
      <w:b/>
      <w:sz w:val="20"/>
      <w:lang w:val="en-GB"/>
    </w:rPr>
  </w:style>
  <w:style w:type="paragraph" w:styleId="Heading5">
    <w:name w:val="heading 5"/>
    <w:basedOn w:val="Heading4"/>
    <w:next w:val="Normal"/>
    <w:link w:val="Heading5Char"/>
    <w:autoRedefine/>
    <w:uiPriority w:val="9"/>
    <w:qFormat/>
    <w:rsid w:val="006C19F7"/>
    <w:pPr>
      <w:numPr>
        <w:ilvl w:val="2"/>
        <w:numId w:val="3"/>
      </w:numPr>
      <w:contextualSpacing/>
      <w:outlineLvl w:val="4"/>
    </w:pPr>
    <w:rPr>
      <w:b w:val="0"/>
    </w:rPr>
  </w:style>
  <w:style w:type="paragraph" w:styleId="Heading6">
    <w:name w:val="heading 6"/>
    <w:basedOn w:val="Normal"/>
    <w:next w:val="Normal"/>
    <w:link w:val="Heading6Char"/>
    <w:autoRedefine/>
    <w:uiPriority w:val="9"/>
    <w:qFormat/>
    <w:rsid w:val="006C19F7"/>
    <w:pPr>
      <w:spacing w:after="0" w:line="480" w:lineRule="auto"/>
      <w:ind w:right="33"/>
      <w:outlineLvl w:val="5"/>
    </w:pPr>
    <w:rPr>
      <w:rFonts w:ascii="Arial" w:eastAsia="Calibri" w:hAnsi="Arial" w:cs="Times New Roman"/>
      <w:sz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6C19F7"/>
    <w:pPr>
      <w:numPr>
        <w:numId w:val="4"/>
      </w:numPr>
      <w:spacing w:after="0" w:line="240" w:lineRule="auto"/>
      <w:outlineLvl w:val="6"/>
    </w:pPr>
    <w:rPr>
      <w:rFonts w:ascii="Arial" w:eastAsia="Calibri" w:hAnsi="Arial" w:cs="Times New Roman"/>
      <w:b/>
      <w:sz w:val="20"/>
      <w:lang w:val="en-GB"/>
    </w:rPr>
  </w:style>
  <w:style w:type="paragraph" w:styleId="Heading8">
    <w:name w:val="heading 8"/>
    <w:basedOn w:val="Heading3"/>
    <w:next w:val="Normal"/>
    <w:link w:val="Heading8Char"/>
    <w:uiPriority w:val="9"/>
    <w:qFormat/>
    <w:rsid w:val="006C19F7"/>
    <w:pPr>
      <w:outlineLvl w:val="7"/>
    </w:pPr>
    <w:rPr>
      <w:color w:val="FFFFFF"/>
    </w:rPr>
  </w:style>
  <w:style w:type="paragraph" w:styleId="Heading9">
    <w:name w:val="heading 9"/>
    <w:basedOn w:val="Normal"/>
    <w:next w:val="Normal"/>
    <w:link w:val="Heading9Char"/>
    <w:uiPriority w:val="9"/>
    <w:qFormat/>
    <w:rsid w:val="006C19F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19F7"/>
    <w:rPr>
      <w:rFonts w:ascii="Arial" w:eastAsia="Times New Roman" w:hAnsi="Arial"/>
      <w:b/>
      <w:bCs/>
      <w:szCs w:val="28"/>
    </w:rPr>
  </w:style>
  <w:style w:type="character" w:customStyle="1" w:styleId="Heading2Char">
    <w:name w:val="Heading 2 Char"/>
    <w:link w:val="Heading2"/>
    <w:uiPriority w:val="9"/>
    <w:rsid w:val="006C19F7"/>
    <w:rPr>
      <w:rFonts w:ascii="Arial" w:eastAsia="Times New Roman" w:hAnsi="Arial"/>
      <w:b/>
      <w:bCs/>
      <w:szCs w:val="26"/>
    </w:rPr>
  </w:style>
  <w:style w:type="character" w:customStyle="1" w:styleId="Heading3Char">
    <w:name w:val="Heading 3 Char"/>
    <w:link w:val="Heading3"/>
    <w:uiPriority w:val="9"/>
    <w:rsid w:val="006C19F7"/>
    <w:rPr>
      <w:rFonts w:ascii="Arial" w:eastAsia="Times New Roman" w:hAnsi="Arial"/>
      <w:b/>
      <w:bCs/>
      <w:szCs w:val="22"/>
    </w:rPr>
  </w:style>
  <w:style w:type="character" w:customStyle="1" w:styleId="Heading4Char">
    <w:name w:val="Heading 4 Char"/>
    <w:link w:val="Heading4"/>
    <w:uiPriority w:val="9"/>
    <w:rsid w:val="006C19F7"/>
    <w:rPr>
      <w:rFonts w:ascii="Arial" w:hAnsi="Arial"/>
      <w:b/>
      <w:szCs w:val="22"/>
    </w:rPr>
  </w:style>
  <w:style w:type="character" w:customStyle="1" w:styleId="Heading5Char">
    <w:name w:val="Heading 5 Char"/>
    <w:link w:val="Heading5"/>
    <w:uiPriority w:val="9"/>
    <w:rsid w:val="006C19F7"/>
    <w:rPr>
      <w:rFonts w:ascii="Arial" w:hAnsi="Arial"/>
      <w:szCs w:val="22"/>
    </w:rPr>
  </w:style>
  <w:style w:type="character" w:customStyle="1" w:styleId="Heading6Char">
    <w:name w:val="Heading 6 Char"/>
    <w:link w:val="Heading6"/>
    <w:uiPriority w:val="9"/>
    <w:rsid w:val="006C19F7"/>
    <w:rPr>
      <w:rFonts w:ascii="Arial" w:hAnsi="Arial"/>
      <w:szCs w:val="22"/>
    </w:rPr>
  </w:style>
  <w:style w:type="character" w:customStyle="1" w:styleId="Heading7Char">
    <w:name w:val="Heading 7 Char"/>
    <w:link w:val="Heading7"/>
    <w:uiPriority w:val="9"/>
    <w:rsid w:val="006C19F7"/>
    <w:rPr>
      <w:rFonts w:ascii="Arial" w:hAnsi="Arial"/>
      <w:b/>
      <w:szCs w:val="22"/>
    </w:rPr>
  </w:style>
  <w:style w:type="character" w:customStyle="1" w:styleId="Heading8Char">
    <w:name w:val="Heading 8 Char"/>
    <w:link w:val="Heading8"/>
    <w:uiPriority w:val="9"/>
    <w:rsid w:val="006C19F7"/>
    <w:rPr>
      <w:rFonts w:ascii="Arial" w:eastAsia="Times New Roman" w:hAnsi="Arial"/>
      <w:b/>
      <w:bCs/>
      <w:color w:val="FFFFFF"/>
      <w:szCs w:val="22"/>
    </w:rPr>
  </w:style>
  <w:style w:type="character" w:customStyle="1" w:styleId="Heading9Char">
    <w:name w:val="Heading 9 Char"/>
    <w:link w:val="Heading9"/>
    <w:uiPriority w:val="9"/>
    <w:rsid w:val="006C19F7"/>
    <w:rPr>
      <w:rFonts w:ascii="Cambria" w:eastAsia="Times New Roman" w:hAnsi="Cambria"/>
      <w:i/>
      <w:iCs/>
      <w:color w:val="40404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6C19F7"/>
    <w:pPr>
      <w:pBdr>
        <w:top w:val="single" w:sz="4" w:space="1" w:color="0066FF"/>
      </w:pBdr>
      <w:tabs>
        <w:tab w:val="center" w:pos="4678"/>
        <w:tab w:val="right" w:pos="9356"/>
        <w:tab w:val="right" w:pos="9639"/>
      </w:tabs>
      <w:spacing w:after="0" w:line="240" w:lineRule="auto"/>
    </w:pPr>
    <w:rPr>
      <w:rFonts w:ascii="Arial" w:eastAsia="Calibri" w:hAnsi="Arial" w:cs="Times New Roman"/>
      <w:sz w:val="16"/>
      <w:lang w:val="en-GB"/>
    </w:rPr>
  </w:style>
  <w:style w:type="character" w:customStyle="1" w:styleId="FooterChar">
    <w:name w:val="Footer Char"/>
    <w:link w:val="Footer"/>
    <w:uiPriority w:val="99"/>
    <w:rsid w:val="006C19F7"/>
    <w:rPr>
      <w:rFonts w:ascii="Arial" w:hAnsi="Arial"/>
      <w:sz w:val="16"/>
      <w:szCs w:val="22"/>
    </w:rPr>
  </w:style>
  <w:style w:type="paragraph" w:styleId="TOCHeading">
    <w:name w:val="TOC Heading"/>
    <w:basedOn w:val="Heading1"/>
    <w:next w:val="Normal"/>
    <w:uiPriority w:val="39"/>
    <w:qFormat/>
    <w:rsid w:val="006C19F7"/>
    <w:pPr>
      <w:spacing w:before="480" w:after="0"/>
      <w:outlineLvl w:val="9"/>
    </w:pPr>
    <w:rPr>
      <w:rFonts w:ascii="Cambria" w:hAnsi="Cambria"/>
      <w:color w:val="365F9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0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0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F2D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605F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F2D"/>
    <w:pPr>
      <w:spacing w:before="160" w:after="160" w:line="240" w:lineRule="auto"/>
      <w:jc w:val="center"/>
    </w:pPr>
    <w:rPr>
      <w:rFonts w:ascii="Arial" w:eastAsia="Calibri" w:hAnsi="Arial" w:cs="Times New Roman"/>
      <w:i/>
      <w:iCs/>
      <w:color w:val="404040" w:themeColor="text1" w:themeTint="BF"/>
      <w:sz w:val="20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605F2D"/>
    <w:rPr>
      <w:rFonts w:ascii="Arial" w:hAnsi="Arial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605F2D"/>
    <w:pPr>
      <w:spacing w:after="0" w:line="240" w:lineRule="auto"/>
      <w:ind w:left="720"/>
      <w:contextualSpacing/>
    </w:pPr>
    <w:rPr>
      <w:rFonts w:ascii="Arial" w:eastAsia="Calibri" w:hAnsi="Arial" w:cs="Times New Roman"/>
      <w:sz w:val="20"/>
      <w:lang w:val="en-GB"/>
    </w:rPr>
  </w:style>
  <w:style w:type="character" w:styleId="IntenseEmphasis">
    <w:name w:val="Intense Emphasis"/>
    <w:basedOn w:val="DefaultParagraphFont"/>
    <w:uiPriority w:val="21"/>
    <w:qFormat/>
    <w:rsid w:val="00605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Arial" w:eastAsia="Calibri" w:hAnsi="Arial" w:cs="Times New Roman"/>
      <w:i/>
      <w:iCs/>
      <w:color w:val="0F4761" w:themeColor="accent1" w:themeShade="BF"/>
      <w:sz w:val="20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F2D"/>
    <w:rPr>
      <w:rFonts w:ascii="Arial" w:hAnsi="Arial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605F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5F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93278250BA34492C05FEF43F3C794" ma:contentTypeVersion="18" ma:contentTypeDescription="Create a new document." ma:contentTypeScope="" ma:versionID="07c61f03051a78f762be513cd34a27d9">
  <xsd:schema xmlns:xsd="http://www.w3.org/2001/XMLSchema" xmlns:xs="http://www.w3.org/2001/XMLSchema" xmlns:p="http://schemas.microsoft.com/office/2006/metadata/properties" xmlns:ns2="7abca010-50a7-408e-a343-5a1d01faf573" xmlns:ns3="33cc58d3-6ade-4982-8d6e-c78eb8d33be3" targetNamespace="http://schemas.microsoft.com/office/2006/metadata/properties" ma:root="true" ma:fieldsID="4a7dac1b304d988fcaa6d0bc54edd69a" ns2:_="" ns3:_="">
    <xsd:import namespace="7abca010-50a7-408e-a343-5a1d01faf573"/>
    <xsd:import namespace="33cc58d3-6ade-4982-8d6e-c78eb8d33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ca010-50a7-408e-a343-5a1d01faf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01563e-7555-4fff-9a67-43bc34234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58d3-6ade-4982-8d6e-c78eb8d33be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491d28d-67d5-4963-8f48-7ddd19099fb5}" ma:internalName="TaxCatchAll" ma:showField="CatchAllData" ma:web="33cc58d3-6ade-4982-8d6e-c78eb8d33b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ca010-50a7-408e-a343-5a1d01faf573">
      <Terms xmlns="http://schemas.microsoft.com/office/infopath/2007/PartnerControls"/>
    </lcf76f155ced4ddcb4097134ff3c332f>
    <TaxCatchAll xmlns="33cc58d3-6ade-4982-8d6e-c78eb8d33be3" xsi:nil="true"/>
  </documentManagement>
</p:properties>
</file>

<file path=customXml/itemProps1.xml><?xml version="1.0" encoding="utf-8"?>
<ds:datastoreItem xmlns:ds="http://schemas.openxmlformats.org/officeDocument/2006/customXml" ds:itemID="{ED69EC90-559A-48DB-85B0-6C5F620AC80D}"/>
</file>

<file path=customXml/itemProps2.xml><?xml version="1.0" encoding="utf-8"?>
<ds:datastoreItem xmlns:ds="http://schemas.openxmlformats.org/officeDocument/2006/customXml" ds:itemID="{788E878A-C7EC-46DC-8A87-6D53E8D30C05}"/>
</file>

<file path=customXml/itemProps3.xml><?xml version="1.0" encoding="utf-8"?>
<ds:datastoreItem xmlns:ds="http://schemas.openxmlformats.org/officeDocument/2006/customXml" ds:itemID="{1EEB13E0-2C28-4B44-BE74-1FE5DD334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Barry</dc:creator>
  <cp:keywords/>
  <dc:description/>
  <cp:lastModifiedBy>Gerard Barry</cp:lastModifiedBy>
  <cp:revision>1</cp:revision>
  <dcterms:created xsi:type="dcterms:W3CDTF">2025-11-30T21:22:00Z</dcterms:created>
  <dcterms:modified xsi:type="dcterms:W3CDTF">2025-11-30T21:24:00Z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0x0101006B093278250BA34492C05FEF43F3C794</vt:lpwstr>
  </property>
</Properties>
</file>