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95B5" w14:textId="77777777" w:rsidR="009548A2" w:rsidRDefault="009548A2" w:rsidP="009548A2">
      <w:pPr>
        <w:pStyle w:val="Heading1"/>
      </w:pPr>
      <w:r>
        <w:t>Letter to Charity Commission</w:t>
      </w:r>
    </w:p>
    <w:p w14:paraId="75D921EF" w14:textId="5615C6E2" w:rsidR="009548A2" w:rsidRDefault="009548A2" w:rsidP="009548A2">
      <w:r>
        <w:t>Name</w:t>
      </w:r>
      <w:r>
        <w:br/>
      </w:r>
      <w:r>
        <w:t>Address</w:t>
      </w:r>
      <w:r>
        <w:br/>
        <w:t>Harefield, Uxbridge, UB9</w:t>
      </w:r>
      <w:r>
        <w:br/>
      </w:r>
      <w:r>
        <w:t xml:space="preserve">email: </w:t>
      </w:r>
      <w:r>
        <w:br/>
      </w:r>
      <w:r>
        <w:t>1</w:t>
      </w:r>
      <w:r w:rsidRPr="009548A2">
        <w:rPr>
          <w:vertAlign w:val="superscript"/>
        </w:rPr>
        <w:t>st</w:t>
      </w:r>
      <w:r>
        <w:t xml:space="preserve"> December </w:t>
      </w:r>
      <w:r>
        <w:t>2025</w:t>
      </w:r>
      <w:r>
        <w:br/>
      </w:r>
      <w:r>
        <w:br/>
        <w:t>The Charity Commission for England and Wales</w:t>
      </w:r>
      <w:r>
        <w:br/>
        <w:t>PO Box 211</w:t>
      </w:r>
      <w:r>
        <w:br/>
        <w:t>Bootle</w:t>
      </w:r>
      <w:r>
        <w:br/>
        <w:t>L20 7YX</w:t>
      </w:r>
      <w:r>
        <w:br/>
      </w:r>
      <w:r>
        <w:br/>
        <w:t>cc: The Co-operative Bank plc</w:t>
      </w:r>
      <w:r>
        <w:br/>
        <w:t>Charity Banking Division</w:t>
      </w:r>
      <w:r>
        <w:br/>
      </w:r>
      <w:r>
        <w:br/>
        <w:t>Subject: Urgent Concerns Regarding KSIMC (Hujjat Group) – High Court Findings of Serious Failures in Governance and “Know Your Donor” Compliance</w:t>
      </w:r>
      <w:r>
        <w:br/>
      </w:r>
      <w:r>
        <w:br/>
        <w:t>Dear Sir/Madam,</w:t>
      </w:r>
      <w:r>
        <w:br/>
      </w:r>
      <w:r>
        <w:br/>
        <w:t xml:space="preserve">I write to raise urgent concerns regarding the Khoja Shia </w:t>
      </w:r>
      <w:proofErr w:type="spellStart"/>
      <w:r>
        <w:t>Ithna</w:t>
      </w:r>
      <w:proofErr w:type="spellEnd"/>
      <w:r>
        <w:t xml:space="preserve"> </w:t>
      </w:r>
      <w:proofErr w:type="spellStart"/>
      <w:r>
        <w:t>Asheri</w:t>
      </w:r>
      <w:proofErr w:type="spellEnd"/>
      <w:r>
        <w:t xml:space="preserve"> Muslim Community (KSIMC, also known as the Hujjat Group), following the High Court’s recent judgment in Jaffer v Jaffer [2024] EWHC 135 (Ch).</w:t>
      </w:r>
      <w:r>
        <w:br/>
      </w:r>
      <w:r>
        <w:br/>
        <w:t>The judgment exposes systemic breaches of trustee duties and the Charity Commission’s “Know Your Donor” (KYD) guidance, in connection with over £34 million in donations received from a single anonymous donor and transferred to high-risk jurisdictions.</w:t>
      </w:r>
      <w:r>
        <w:br/>
      </w:r>
      <w:r>
        <w:br/>
        <w:t>The Court’s findings include:</w:t>
      </w:r>
      <w:r>
        <w:br/>
      </w:r>
      <w:r>
        <w:br/>
        <w:t>1. Obscuring the source of funds</w:t>
      </w:r>
      <w:r>
        <w:br/>
        <w:t>“It is clear to me that the obscuring of the source of the Donor’s funds was a deliberate policy… even the Treasurer did not know whether the donations were being made from BVI, the UK or elsewhere.” (para 401)</w:t>
      </w:r>
      <w:r>
        <w:br/>
      </w:r>
      <w:r>
        <w:br/>
        <w:t>2. Failure of reporting and accountability</w:t>
      </w:r>
      <w:r>
        <w:br/>
        <w:t xml:space="preserve">“No reports were made to </w:t>
      </w:r>
      <w:proofErr w:type="spellStart"/>
      <w:r>
        <w:t>ExCo</w:t>
      </w:r>
      <w:proofErr w:type="spellEnd"/>
      <w:r>
        <w:t xml:space="preserve"> about the source of the funds… this left the Charity’s governing body unable to exercise oversight over tens of millions of pounds.” (para 392)</w:t>
      </w:r>
      <w:r>
        <w:br/>
      </w:r>
      <w:r>
        <w:br/>
        <w:t>3. Charity acting as a conduit</w:t>
      </w:r>
      <w:r>
        <w:br/>
        <w:t>“I can see no sensible explanation for why an English charity would receive money from the Middle East only to send the same funds back there. The Charity was being used as a post-box.” (para 398)</w:t>
      </w:r>
      <w:r>
        <w:br/>
      </w:r>
      <w:r>
        <w:br/>
      </w:r>
      <w:r>
        <w:lastRenderedPageBreak/>
        <w:t>4. Inadequate due diligence</w:t>
      </w:r>
      <w:r>
        <w:br/>
        <w:t>“Risk assessments were not recorded; politically exposed person checks and sanctions checks were not undertaken until 2019. These were too informal for transactions of this scale and risk.” (paras 385–386)</w:t>
      </w:r>
      <w:r>
        <w:br/>
      </w:r>
      <w:r>
        <w:br/>
        <w:t>5. Erosion of trust and governance</w:t>
      </w:r>
      <w:r>
        <w:br/>
        <w:t xml:space="preserve">“The intentional obscuring of the Donor’s role… has undermined accountability and </w:t>
      </w:r>
      <w:proofErr w:type="spellStart"/>
      <w:r>
        <w:t>fuelled</w:t>
      </w:r>
      <w:proofErr w:type="spellEnd"/>
      <w:r>
        <w:t xml:space="preserve"> mistrust within the community.” (para 403)</w:t>
      </w:r>
      <w:r>
        <w:br/>
      </w:r>
      <w:r>
        <w:br/>
        <w:t>These findings are deeply troubling. They evidence serious mismanagement in the administration of charitable funds, non-compliance with the Commission’s KYD framework, and failures in trustee duties under the Charities Act 2011.</w:t>
      </w:r>
      <w:r>
        <w:br/>
      </w:r>
      <w:r>
        <w:br/>
        <w:t>In light of this, I urge the Commission to:</w:t>
      </w:r>
      <w:r>
        <w:br/>
      </w:r>
      <w:r>
        <w:br/>
        <w:t>- Open a statutory inquiry into KSIMC’s governance, due diligence, and compliance with KYD obligations.</w:t>
      </w:r>
      <w:r>
        <w:br/>
        <w:t>- Consider whether the present or former trustees are fit and proper persons to serve.</w:t>
      </w:r>
      <w:r>
        <w:br/>
        <w:t>- Impose binding regulatory directions, including requirements for enhanced due diligence, full financial transparency, and independent audit of overseas transfers.</w:t>
      </w:r>
      <w:r>
        <w:br/>
      </w:r>
      <w:r>
        <w:br/>
        <w:t>Given the seriousness of these findings, I am also copying this letter to the Co-operative Bank, which has reportedly lent KSIMC approximately £20 million. The Court’s conclusions raise clear questions as to whether the trustees can be relied upon to manage such large sums responsibly, and whether funders and regulators alike should now demand stronger safeguards.</w:t>
      </w:r>
      <w:r>
        <w:br/>
      </w:r>
      <w:r>
        <w:br/>
        <w:t>The integrity of the charitable sector requires immediate regulatory intervention. I respectfully request confirmation of the steps the Commission intends to take.</w:t>
      </w:r>
      <w:r>
        <w:br/>
      </w:r>
      <w:r>
        <w:br/>
        <w:t>Yours faithfully,</w:t>
      </w:r>
      <w:r>
        <w:br/>
      </w:r>
      <w:r>
        <w:br/>
      </w:r>
    </w:p>
    <w:p w14:paraId="79B25E58" w14:textId="77777777" w:rsidR="006C19F7" w:rsidRDefault="006C19F7"/>
    <w:sectPr w:rsidR="006C1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27BAC"/>
    <w:multiLevelType w:val="multilevel"/>
    <w:tmpl w:val="C9229A50"/>
    <w:lvl w:ilvl="0">
      <w:start w:val="1"/>
      <w:numFmt w:val="decimal"/>
      <w:pStyle w:val="Heading2"/>
      <w:lvlText w:val="%1."/>
      <w:lvlJc w:val="left"/>
      <w:pPr>
        <w:ind w:left="720" w:hanging="363"/>
      </w:pPr>
      <w:rPr>
        <w:rFonts w:hint="default"/>
      </w:rPr>
    </w:lvl>
    <w:lvl w:ilvl="1">
      <w:start w:val="1"/>
      <w:numFmt w:val="decimal"/>
      <w:pStyle w:val="Heading4"/>
      <w:lvlText w:val="%1.%2."/>
      <w:lvlJc w:val="left"/>
      <w:pPr>
        <w:ind w:left="720" w:hanging="363"/>
      </w:pPr>
      <w:rPr>
        <w:rFonts w:ascii="Arial" w:hAnsi="Arial" w:hint="default"/>
        <w:b/>
        <w:sz w:val="20"/>
      </w:rPr>
    </w:lvl>
    <w:lvl w:ilvl="2">
      <w:start w:val="1"/>
      <w:numFmt w:val="decimal"/>
      <w:lvlText w:val="%1.%2.%3."/>
      <w:lvlJc w:val="left"/>
      <w:pPr>
        <w:ind w:left="720" w:hanging="363"/>
      </w:pPr>
      <w:rPr>
        <w:rFonts w:hint="default"/>
      </w:rPr>
    </w:lvl>
    <w:lvl w:ilvl="3">
      <w:start w:val="1"/>
      <w:numFmt w:val="decimal"/>
      <w:lvlText w:val="%1.%2.%3.%4."/>
      <w:lvlJc w:val="left"/>
      <w:pPr>
        <w:ind w:left="720" w:hanging="363"/>
      </w:pPr>
      <w:rPr>
        <w:rFonts w:hint="default"/>
      </w:rPr>
    </w:lvl>
    <w:lvl w:ilvl="4">
      <w:start w:val="1"/>
      <w:numFmt w:val="decimal"/>
      <w:lvlText w:val="%1.%2.%3.%4.%5."/>
      <w:lvlJc w:val="left"/>
      <w:pPr>
        <w:ind w:left="720" w:hanging="363"/>
      </w:pPr>
      <w:rPr>
        <w:rFonts w:hint="default"/>
      </w:rPr>
    </w:lvl>
    <w:lvl w:ilvl="5">
      <w:start w:val="1"/>
      <w:numFmt w:val="decimal"/>
      <w:lvlText w:val="%1.%2.%3.%4.%5.%6."/>
      <w:lvlJc w:val="left"/>
      <w:pPr>
        <w:ind w:left="720" w:hanging="363"/>
      </w:pPr>
      <w:rPr>
        <w:rFonts w:hint="default"/>
      </w:rPr>
    </w:lvl>
    <w:lvl w:ilvl="6">
      <w:start w:val="1"/>
      <w:numFmt w:val="decimal"/>
      <w:lvlText w:val="%1.%2.%3.%4.%5.%6.%7."/>
      <w:lvlJc w:val="left"/>
      <w:pPr>
        <w:ind w:left="720" w:hanging="363"/>
      </w:pPr>
      <w:rPr>
        <w:rFonts w:hint="default"/>
      </w:rPr>
    </w:lvl>
    <w:lvl w:ilvl="7">
      <w:start w:val="1"/>
      <w:numFmt w:val="decimal"/>
      <w:lvlText w:val="%1.%2.%3.%4.%5.%6.%7.%8."/>
      <w:lvlJc w:val="left"/>
      <w:pPr>
        <w:ind w:left="720" w:hanging="363"/>
      </w:pPr>
      <w:rPr>
        <w:rFonts w:hint="default"/>
      </w:rPr>
    </w:lvl>
    <w:lvl w:ilvl="8">
      <w:start w:val="1"/>
      <w:numFmt w:val="decimal"/>
      <w:lvlText w:val="%1.%2.%3.%4.%5.%6.%7.%8.%9."/>
      <w:lvlJc w:val="left"/>
      <w:pPr>
        <w:ind w:left="720" w:hanging="363"/>
      </w:pPr>
      <w:rPr>
        <w:rFonts w:hint="default"/>
      </w:rPr>
    </w:lvl>
  </w:abstractNum>
  <w:abstractNum w:abstractNumId="1" w15:restartNumberingAfterBreak="0">
    <w:nsid w:val="3ED120AC"/>
    <w:multiLevelType w:val="multilevel"/>
    <w:tmpl w:val="42C61C2C"/>
    <w:lvl w:ilvl="0">
      <w:start w:val="1"/>
      <w:numFmt w:val="decimal"/>
      <w:lvlText w:val="%1."/>
      <w:lvlJc w:val="left"/>
      <w:pPr>
        <w:ind w:left="720" w:hanging="363"/>
      </w:pPr>
      <w:rPr>
        <w:rFonts w:hint="default"/>
      </w:rPr>
    </w:lvl>
    <w:lvl w:ilvl="1">
      <w:start w:val="1"/>
      <w:numFmt w:val="decimal"/>
      <w:lvlText w:val="%1.%2."/>
      <w:lvlJc w:val="left"/>
      <w:pPr>
        <w:ind w:left="720" w:hanging="363"/>
      </w:pPr>
      <w:rPr>
        <w:rFonts w:ascii="Arial" w:hAnsi="Arial" w:hint="default"/>
        <w:b/>
        <w:sz w:val="20"/>
      </w:rPr>
    </w:lvl>
    <w:lvl w:ilvl="2">
      <w:start w:val="1"/>
      <w:numFmt w:val="decimal"/>
      <w:lvlRestart w:val="0"/>
      <w:pStyle w:val="Heading5"/>
      <w:lvlText w:val="6.6.%3."/>
      <w:lvlJc w:val="left"/>
      <w:pPr>
        <w:ind w:left="720" w:hanging="363"/>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363"/>
      </w:pPr>
      <w:rPr>
        <w:rFonts w:hint="default"/>
      </w:rPr>
    </w:lvl>
    <w:lvl w:ilvl="4">
      <w:start w:val="1"/>
      <w:numFmt w:val="decimal"/>
      <w:lvlText w:val="%1.%2.%3.%4.%5."/>
      <w:lvlJc w:val="left"/>
      <w:pPr>
        <w:ind w:left="720" w:hanging="363"/>
      </w:pPr>
      <w:rPr>
        <w:rFonts w:hint="default"/>
      </w:rPr>
    </w:lvl>
    <w:lvl w:ilvl="5">
      <w:start w:val="1"/>
      <w:numFmt w:val="decimal"/>
      <w:lvlText w:val="%1.%2.%3.%4.%5.%6."/>
      <w:lvlJc w:val="left"/>
      <w:pPr>
        <w:ind w:left="720" w:hanging="363"/>
      </w:pPr>
      <w:rPr>
        <w:rFonts w:hint="default"/>
      </w:rPr>
    </w:lvl>
    <w:lvl w:ilvl="6">
      <w:start w:val="1"/>
      <w:numFmt w:val="decimal"/>
      <w:lvlText w:val="%1.%2.%3.%4.%5.%6.%7."/>
      <w:lvlJc w:val="left"/>
      <w:pPr>
        <w:ind w:left="720" w:hanging="363"/>
      </w:pPr>
      <w:rPr>
        <w:rFonts w:hint="default"/>
      </w:rPr>
    </w:lvl>
    <w:lvl w:ilvl="7">
      <w:start w:val="1"/>
      <w:numFmt w:val="decimal"/>
      <w:lvlText w:val="%1.%2.%3.%4.%5.%6.%7.%8."/>
      <w:lvlJc w:val="left"/>
      <w:pPr>
        <w:ind w:left="720" w:hanging="363"/>
      </w:pPr>
      <w:rPr>
        <w:rFonts w:hint="default"/>
      </w:rPr>
    </w:lvl>
    <w:lvl w:ilvl="8">
      <w:start w:val="1"/>
      <w:numFmt w:val="decimal"/>
      <w:lvlRestart w:val="0"/>
      <w:lvlText w:val="%1.%2.%3.%4.%5.%6.%7.%8.%9."/>
      <w:lvlJc w:val="left"/>
      <w:pPr>
        <w:ind w:left="720" w:hanging="363"/>
      </w:pPr>
      <w:rPr>
        <w:rFonts w:hint="default"/>
      </w:rPr>
    </w:lvl>
  </w:abstractNum>
  <w:abstractNum w:abstractNumId="2" w15:restartNumberingAfterBreak="0">
    <w:nsid w:val="75411673"/>
    <w:multiLevelType w:val="hybridMultilevel"/>
    <w:tmpl w:val="04A48810"/>
    <w:lvl w:ilvl="0" w:tplc="578877F6">
      <w:start w:val="1"/>
      <w:numFmt w:val="decimal"/>
      <w:pStyle w:val="Heading7"/>
      <w:lvlText w:val="%1."/>
      <w:lvlJc w:val="left"/>
      <w:pPr>
        <w:ind w:left="360" w:hanging="360"/>
      </w:pPr>
      <w:rPr>
        <w:rFonts w:ascii="Arial" w:hAnsi="Arial"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4022706">
    <w:abstractNumId w:val="0"/>
    <w:lvlOverride w:ilvl="1">
      <w:lvl w:ilvl="1">
        <w:start w:val="1"/>
        <w:numFmt w:val="decimal"/>
        <w:pStyle w:val="Heading4"/>
        <w:lvlText w:val="%1.%2."/>
        <w:lvlJc w:val="left"/>
        <w:pPr>
          <w:ind w:left="363" w:hanging="363"/>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16cid:durableId="60106307">
    <w:abstractNumId w:val="0"/>
    <w:lvlOverride w:ilvl="1">
      <w:lvl w:ilvl="1">
        <w:start w:val="1"/>
        <w:numFmt w:val="decimal"/>
        <w:pStyle w:val="Heading4"/>
        <w:lvlText w:val="%1.%2."/>
        <w:lvlJc w:val="left"/>
        <w:pPr>
          <w:ind w:left="363" w:hanging="363"/>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 w16cid:durableId="1145126411">
    <w:abstractNumId w:val="1"/>
  </w:num>
  <w:num w:numId="4" w16cid:durableId="540017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A2"/>
    <w:rsid w:val="005003C5"/>
    <w:rsid w:val="006C19F7"/>
    <w:rsid w:val="009548A2"/>
    <w:rsid w:val="009B0147"/>
    <w:rsid w:val="00AC1EAB"/>
    <w:rsid w:val="00D33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E535"/>
  <w15:chartTrackingRefBased/>
  <w15:docId w15:val="{63AD24A2-1AB4-43D1-8D52-489874AA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8A2"/>
    <w:pPr>
      <w:spacing w:after="200" w:line="276" w:lineRule="auto"/>
    </w:pPr>
    <w:rPr>
      <w:rFonts w:asciiTheme="minorHAnsi" w:eastAsiaTheme="minorEastAsia" w:hAnsiTheme="minorHAnsi" w:cstheme="minorBidi"/>
      <w:sz w:val="22"/>
      <w:szCs w:val="22"/>
      <w:lang w:val="en-US"/>
    </w:rPr>
  </w:style>
  <w:style w:type="paragraph" w:styleId="Heading1">
    <w:name w:val="heading 1"/>
    <w:basedOn w:val="Normal"/>
    <w:next w:val="Normal"/>
    <w:link w:val="Heading1Char"/>
    <w:autoRedefine/>
    <w:uiPriority w:val="9"/>
    <w:qFormat/>
    <w:rsid w:val="006C19F7"/>
    <w:pPr>
      <w:keepNext/>
      <w:keepLines/>
      <w:pBdr>
        <w:bottom w:val="single" w:sz="4" w:space="1" w:color="0066FF"/>
      </w:pBdr>
      <w:spacing w:before="120" w:after="120" w:line="240" w:lineRule="auto"/>
      <w:outlineLvl w:val="0"/>
    </w:pPr>
    <w:rPr>
      <w:rFonts w:ascii="Arial" w:eastAsia="Times New Roman" w:hAnsi="Arial" w:cs="Times New Roman"/>
      <w:b/>
      <w:bCs/>
      <w:sz w:val="20"/>
      <w:szCs w:val="28"/>
      <w:lang w:val="en-GB"/>
    </w:rPr>
  </w:style>
  <w:style w:type="paragraph" w:styleId="Heading2">
    <w:name w:val="heading 2"/>
    <w:basedOn w:val="Normal"/>
    <w:next w:val="Normal"/>
    <w:link w:val="Heading2Char"/>
    <w:autoRedefine/>
    <w:uiPriority w:val="9"/>
    <w:qFormat/>
    <w:rsid w:val="006C19F7"/>
    <w:pPr>
      <w:keepNext/>
      <w:keepLines/>
      <w:numPr>
        <w:numId w:val="2"/>
      </w:numPr>
      <w:pBdr>
        <w:bottom w:val="single" w:sz="4" w:space="1" w:color="0066FF"/>
      </w:pBdr>
      <w:spacing w:before="120" w:after="120" w:line="240" w:lineRule="auto"/>
      <w:outlineLvl w:val="1"/>
    </w:pPr>
    <w:rPr>
      <w:rFonts w:ascii="Arial" w:eastAsia="Times New Roman" w:hAnsi="Arial" w:cs="Times New Roman"/>
      <w:b/>
      <w:bCs/>
      <w:sz w:val="20"/>
      <w:szCs w:val="26"/>
      <w:lang w:val="en-GB"/>
    </w:rPr>
  </w:style>
  <w:style w:type="paragraph" w:styleId="Heading3">
    <w:name w:val="heading 3"/>
    <w:basedOn w:val="Normal"/>
    <w:next w:val="Normal"/>
    <w:link w:val="Heading3Char"/>
    <w:autoRedefine/>
    <w:uiPriority w:val="9"/>
    <w:qFormat/>
    <w:rsid w:val="006C19F7"/>
    <w:pPr>
      <w:keepNext/>
      <w:keepLines/>
      <w:spacing w:after="0" w:line="240" w:lineRule="auto"/>
      <w:ind w:left="33" w:right="175"/>
      <w:outlineLvl w:val="2"/>
    </w:pPr>
    <w:rPr>
      <w:rFonts w:ascii="Arial" w:eastAsia="Times New Roman" w:hAnsi="Arial" w:cs="Times New Roman"/>
      <w:b/>
      <w:bCs/>
      <w:sz w:val="20"/>
      <w:lang w:val="en-GB"/>
    </w:rPr>
  </w:style>
  <w:style w:type="paragraph" w:styleId="Heading4">
    <w:name w:val="heading 4"/>
    <w:basedOn w:val="Normal"/>
    <w:next w:val="Normal"/>
    <w:link w:val="Heading4Char"/>
    <w:uiPriority w:val="9"/>
    <w:qFormat/>
    <w:rsid w:val="006C19F7"/>
    <w:pPr>
      <w:numPr>
        <w:ilvl w:val="1"/>
        <w:numId w:val="2"/>
      </w:numPr>
      <w:spacing w:after="0" w:line="240" w:lineRule="auto"/>
      <w:outlineLvl w:val="3"/>
    </w:pPr>
    <w:rPr>
      <w:rFonts w:ascii="Arial" w:eastAsia="Calibri" w:hAnsi="Arial" w:cs="Times New Roman"/>
      <w:b/>
      <w:sz w:val="20"/>
      <w:lang w:val="en-GB"/>
    </w:rPr>
  </w:style>
  <w:style w:type="paragraph" w:styleId="Heading5">
    <w:name w:val="heading 5"/>
    <w:basedOn w:val="Heading4"/>
    <w:next w:val="Normal"/>
    <w:link w:val="Heading5Char"/>
    <w:autoRedefine/>
    <w:uiPriority w:val="9"/>
    <w:qFormat/>
    <w:rsid w:val="006C19F7"/>
    <w:pPr>
      <w:numPr>
        <w:ilvl w:val="2"/>
        <w:numId w:val="3"/>
      </w:numPr>
      <w:contextualSpacing/>
      <w:outlineLvl w:val="4"/>
    </w:pPr>
    <w:rPr>
      <w:b w:val="0"/>
    </w:rPr>
  </w:style>
  <w:style w:type="paragraph" w:styleId="Heading6">
    <w:name w:val="heading 6"/>
    <w:basedOn w:val="Normal"/>
    <w:next w:val="Normal"/>
    <w:link w:val="Heading6Char"/>
    <w:autoRedefine/>
    <w:uiPriority w:val="9"/>
    <w:qFormat/>
    <w:rsid w:val="006C19F7"/>
    <w:pPr>
      <w:spacing w:after="0" w:line="480" w:lineRule="auto"/>
      <w:ind w:right="33"/>
      <w:outlineLvl w:val="5"/>
    </w:pPr>
    <w:rPr>
      <w:rFonts w:ascii="Arial" w:eastAsia="Calibri" w:hAnsi="Arial" w:cs="Times New Roman"/>
      <w:sz w:val="20"/>
      <w:lang w:val="en-GB"/>
    </w:rPr>
  </w:style>
  <w:style w:type="paragraph" w:styleId="Heading7">
    <w:name w:val="heading 7"/>
    <w:basedOn w:val="Normal"/>
    <w:next w:val="Normal"/>
    <w:link w:val="Heading7Char"/>
    <w:uiPriority w:val="9"/>
    <w:qFormat/>
    <w:rsid w:val="006C19F7"/>
    <w:pPr>
      <w:numPr>
        <w:numId w:val="4"/>
      </w:numPr>
      <w:spacing w:after="0" w:line="240" w:lineRule="auto"/>
      <w:outlineLvl w:val="6"/>
    </w:pPr>
    <w:rPr>
      <w:rFonts w:ascii="Arial" w:eastAsia="Calibri" w:hAnsi="Arial" w:cs="Times New Roman"/>
      <w:b/>
      <w:sz w:val="20"/>
      <w:lang w:val="en-GB"/>
    </w:rPr>
  </w:style>
  <w:style w:type="paragraph" w:styleId="Heading8">
    <w:name w:val="heading 8"/>
    <w:basedOn w:val="Heading3"/>
    <w:next w:val="Normal"/>
    <w:link w:val="Heading8Char"/>
    <w:uiPriority w:val="9"/>
    <w:qFormat/>
    <w:rsid w:val="006C19F7"/>
    <w:pPr>
      <w:outlineLvl w:val="7"/>
    </w:pPr>
    <w:rPr>
      <w:color w:val="FFFFFF"/>
    </w:rPr>
  </w:style>
  <w:style w:type="paragraph" w:styleId="Heading9">
    <w:name w:val="heading 9"/>
    <w:basedOn w:val="Normal"/>
    <w:next w:val="Normal"/>
    <w:link w:val="Heading9Char"/>
    <w:uiPriority w:val="9"/>
    <w:qFormat/>
    <w:rsid w:val="006C19F7"/>
    <w:pPr>
      <w:keepNext/>
      <w:keepLines/>
      <w:spacing w:before="200" w:after="0" w:line="240" w:lineRule="auto"/>
      <w:outlineLvl w:val="8"/>
    </w:pPr>
    <w:rPr>
      <w:rFonts w:ascii="Cambria" w:eastAsia="Times New Roman" w:hAnsi="Cambria"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19F7"/>
    <w:rPr>
      <w:rFonts w:ascii="Arial" w:eastAsia="Times New Roman" w:hAnsi="Arial"/>
      <w:b/>
      <w:bCs/>
      <w:szCs w:val="28"/>
    </w:rPr>
  </w:style>
  <w:style w:type="character" w:customStyle="1" w:styleId="Heading2Char">
    <w:name w:val="Heading 2 Char"/>
    <w:link w:val="Heading2"/>
    <w:uiPriority w:val="9"/>
    <w:rsid w:val="006C19F7"/>
    <w:rPr>
      <w:rFonts w:ascii="Arial" w:eastAsia="Times New Roman" w:hAnsi="Arial"/>
      <w:b/>
      <w:bCs/>
      <w:szCs w:val="26"/>
    </w:rPr>
  </w:style>
  <w:style w:type="character" w:customStyle="1" w:styleId="Heading3Char">
    <w:name w:val="Heading 3 Char"/>
    <w:link w:val="Heading3"/>
    <w:uiPriority w:val="9"/>
    <w:rsid w:val="006C19F7"/>
    <w:rPr>
      <w:rFonts w:ascii="Arial" w:eastAsia="Times New Roman" w:hAnsi="Arial"/>
      <w:b/>
      <w:bCs/>
      <w:szCs w:val="22"/>
    </w:rPr>
  </w:style>
  <w:style w:type="character" w:customStyle="1" w:styleId="Heading4Char">
    <w:name w:val="Heading 4 Char"/>
    <w:link w:val="Heading4"/>
    <w:uiPriority w:val="9"/>
    <w:rsid w:val="006C19F7"/>
    <w:rPr>
      <w:rFonts w:ascii="Arial" w:hAnsi="Arial"/>
      <w:b/>
      <w:szCs w:val="22"/>
    </w:rPr>
  </w:style>
  <w:style w:type="character" w:customStyle="1" w:styleId="Heading5Char">
    <w:name w:val="Heading 5 Char"/>
    <w:link w:val="Heading5"/>
    <w:uiPriority w:val="9"/>
    <w:rsid w:val="006C19F7"/>
    <w:rPr>
      <w:rFonts w:ascii="Arial" w:hAnsi="Arial"/>
      <w:szCs w:val="22"/>
    </w:rPr>
  </w:style>
  <w:style w:type="character" w:customStyle="1" w:styleId="Heading6Char">
    <w:name w:val="Heading 6 Char"/>
    <w:link w:val="Heading6"/>
    <w:uiPriority w:val="9"/>
    <w:rsid w:val="006C19F7"/>
    <w:rPr>
      <w:rFonts w:ascii="Arial" w:hAnsi="Arial"/>
      <w:szCs w:val="22"/>
    </w:rPr>
  </w:style>
  <w:style w:type="character" w:customStyle="1" w:styleId="Heading7Char">
    <w:name w:val="Heading 7 Char"/>
    <w:link w:val="Heading7"/>
    <w:uiPriority w:val="9"/>
    <w:rsid w:val="006C19F7"/>
    <w:rPr>
      <w:rFonts w:ascii="Arial" w:hAnsi="Arial"/>
      <w:b/>
      <w:szCs w:val="22"/>
    </w:rPr>
  </w:style>
  <w:style w:type="character" w:customStyle="1" w:styleId="Heading8Char">
    <w:name w:val="Heading 8 Char"/>
    <w:link w:val="Heading8"/>
    <w:uiPriority w:val="9"/>
    <w:rsid w:val="006C19F7"/>
    <w:rPr>
      <w:rFonts w:ascii="Arial" w:eastAsia="Times New Roman" w:hAnsi="Arial"/>
      <w:b/>
      <w:bCs/>
      <w:color w:val="FFFFFF"/>
      <w:szCs w:val="22"/>
    </w:rPr>
  </w:style>
  <w:style w:type="character" w:customStyle="1" w:styleId="Heading9Char">
    <w:name w:val="Heading 9 Char"/>
    <w:link w:val="Heading9"/>
    <w:uiPriority w:val="9"/>
    <w:rsid w:val="006C19F7"/>
    <w:rPr>
      <w:rFonts w:ascii="Cambria" w:eastAsia="Times New Roman" w:hAnsi="Cambria"/>
      <w:i/>
      <w:iCs/>
      <w:color w:val="404040"/>
    </w:rPr>
  </w:style>
  <w:style w:type="paragraph" w:styleId="Footer">
    <w:name w:val="footer"/>
    <w:basedOn w:val="Normal"/>
    <w:link w:val="FooterChar"/>
    <w:autoRedefine/>
    <w:uiPriority w:val="99"/>
    <w:unhideWhenUsed/>
    <w:qFormat/>
    <w:rsid w:val="006C19F7"/>
    <w:pPr>
      <w:pBdr>
        <w:top w:val="single" w:sz="4" w:space="1" w:color="0066FF"/>
      </w:pBdr>
      <w:tabs>
        <w:tab w:val="center" w:pos="4678"/>
        <w:tab w:val="right" w:pos="9356"/>
        <w:tab w:val="right" w:pos="9639"/>
      </w:tabs>
      <w:spacing w:after="0" w:line="240" w:lineRule="auto"/>
    </w:pPr>
    <w:rPr>
      <w:rFonts w:ascii="Arial" w:eastAsia="Calibri" w:hAnsi="Arial" w:cs="Times New Roman"/>
      <w:sz w:val="16"/>
      <w:lang w:val="en-GB"/>
    </w:rPr>
  </w:style>
  <w:style w:type="character" w:customStyle="1" w:styleId="FooterChar">
    <w:name w:val="Footer Char"/>
    <w:link w:val="Footer"/>
    <w:uiPriority w:val="99"/>
    <w:rsid w:val="006C19F7"/>
    <w:rPr>
      <w:rFonts w:ascii="Arial" w:hAnsi="Arial"/>
      <w:sz w:val="16"/>
      <w:szCs w:val="22"/>
    </w:rPr>
  </w:style>
  <w:style w:type="paragraph" w:styleId="TOCHeading">
    <w:name w:val="TOC Heading"/>
    <w:basedOn w:val="Heading1"/>
    <w:next w:val="Normal"/>
    <w:uiPriority w:val="39"/>
    <w:qFormat/>
    <w:rsid w:val="006C19F7"/>
    <w:pPr>
      <w:spacing w:before="480" w:after="0"/>
      <w:outlineLvl w:val="9"/>
    </w:pPr>
    <w:rPr>
      <w:rFonts w:ascii="Cambria" w:hAnsi="Cambria"/>
      <w:color w:val="365F91"/>
      <w:sz w:val="28"/>
    </w:rPr>
  </w:style>
  <w:style w:type="paragraph" w:styleId="Title">
    <w:name w:val="Title"/>
    <w:basedOn w:val="Normal"/>
    <w:next w:val="Normal"/>
    <w:link w:val="TitleChar"/>
    <w:uiPriority w:val="10"/>
    <w:qFormat/>
    <w:rsid w:val="009548A2"/>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954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8A2"/>
    <w:pPr>
      <w:numPr>
        <w:ilvl w:val="1"/>
      </w:numPr>
      <w:spacing w:after="160" w:line="240"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9548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48A2"/>
    <w:pPr>
      <w:spacing w:before="160" w:after="160" w:line="240" w:lineRule="auto"/>
      <w:jc w:val="center"/>
    </w:pPr>
    <w:rPr>
      <w:rFonts w:ascii="Arial" w:eastAsia="Calibri" w:hAnsi="Arial" w:cs="Times New Roman"/>
      <w:i/>
      <w:iCs/>
      <w:color w:val="404040" w:themeColor="text1" w:themeTint="BF"/>
      <w:sz w:val="20"/>
      <w:lang w:val="en-GB"/>
    </w:rPr>
  </w:style>
  <w:style w:type="character" w:customStyle="1" w:styleId="QuoteChar">
    <w:name w:val="Quote Char"/>
    <w:basedOn w:val="DefaultParagraphFont"/>
    <w:link w:val="Quote"/>
    <w:uiPriority w:val="29"/>
    <w:rsid w:val="009548A2"/>
    <w:rPr>
      <w:rFonts w:ascii="Arial" w:hAnsi="Arial"/>
      <w:i/>
      <w:iCs/>
      <w:color w:val="404040" w:themeColor="text1" w:themeTint="BF"/>
      <w:szCs w:val="22"/>
    </w:rPr>
  </w:style>
  <w:style w:type="paragraph" w:styleId="ListParagraph">
    <w:name w:val="List Paragraph"/>
    <w:basedOn w:val="Normal"/>
    <w:uiPriority w:val="34"/>
    <w:qFormat/>
    <w:rsid w:val="009548A2"/>
    <w:pPr>
      <w:spacing w:after="0" w:line="240" w:lineRule="auto"/>
      <w:ind w:left="720"/>
      <w:contextualSpacing/>
    </w:pPr>
    <w:rPr>
      <w:rFonts w:ascii="Arial" w:eastAsia="Calibri" w:hAnsi="Arial" w:cs="Times New Roman"/>
      <w:sz w:val="20"/>
      <w:lang w:val="en-GB"/>
    </w:rPr>
  </w:style>
  <w:style w:type="character" w:styleId="IntenseEmphasis">
    <w:name w:val="Intense Emphasis"/>
    <w:basedOn w:val="DefaultParagraphFont"/>
    <w:uiPriority w:val="21"/>
    <w:qFormat/>
    <w:rsid w:val="009548A2"/>
    <w:rPr>
      <w:i/>
      <w:iCs/>
      <w:color w:val="0F4761" w:themeColor="accent1" w:themeShade="BF"/>
    </w:rPr>
  </w:style>
  <w:style w:type="paragraph" w:styleId="IntenseQuote">
    <w:name w:val="Intense Quote"/>
    <w:basedOn w:val="Normal"/>
    <w:next w:val="Normal"/>
    <w:link w:val="IntenseQuoteChar"/>
    <w:uiPriority w:val="30"/>
    <w:qFormat/>
    <w:rsid w:val="009548A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Arial" w:eastAsia="Calibri" w:hAnsi="Arial" w:cs="Times New Roman"/>
      <w:i/>
      <w:iCs/>
      <w:color w:val="0F4761" w:themeColor="accent1" w:themeShade="BF"/>
      <w:sz w:val="20"/>
      <w:lang w:val="en-GB"/>
    </w:rPr>
  </w:style>
  <w:style w:type="character" w:customStyle="1" w:styleId="IntenseQuoteChar">
    <w:name w:val="Intense Quote Char"/>
    <w:basedOn w:val="DefaultParagraphFont"/>
    <w:link w:val="IntenseQuote"/>
    <w:uiPriority w:val="30"/>
    <w:rsid w:val="009548A2"/>
    <w:rPr>
      <w:rFonts w:ascii="Arial" w:hAnsi="Arial"/>
      <w:i/>
      <w:iCs/>
      <w:color w:val="0F4761" w:themeColor="accent1" w:themeShade="BF"/>
      <w:szCs w:val="22"/>
    </w:rPr>
  </w:style>
  <w:style w:type="character" w:styleId="IntenseReference">
    <w:name w:val="Intense Reference"/>
    <w:basedOn w:val="DefaultParagraphFont"/>
    <w:uiPriority w:val="32"/>
    <w:qFormat/>
    <w:rsid w:val="009548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93278250BA34492C05FEF43F3C794" ma:contentTypeVersion="18" ma:contentTypeDescription="Create a new document." ma:contentTypeScope="" ma:versionID="07c61f03051a78f762be513cd34a27d9">
  <xsd:schema xmlns:xsd="http://www.w3.org/2001/XMLSchema" xmlns:xs="http://www.w3.org/2001/XMLSchema" xmlns:p="http://schemas.microsoft.com/office/2006/metadata/properties" xmlns:ns2="7abca010-50a7-408e-a343-5a1d01faf573" xmlns:ns3="33cc58d3-6ade-4982-8d6e-c78eb8d33be3" targetNamespace="http://schemas.microsoft.com/office/2006/metadata/properties" ma:root="true" ma:fieldsID="4a7dac1b304d988fcaa6d0bc54edd69a" ns2:_="" ns3:_="">
    <xsd:import namespace="7abca010-50a7-408e-a343-5a1d01faf573"/>
    <xsd:import namespace="33cc58d3-6ade-4982-8d6e-c78eb8d33b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ca010-50a7-408e-a343-5a1d01faf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01563e-7555-4fff-9a67-43bc34234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c58d3-6ade-4982-8d6e-c78eb8d33be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491d28d-67d5-4963-8f48-7ddd19099fb5}" ma:internalName="TaxCatchAll" ma:showField="CatchAllData" ma:web="33cc58d3-6ade-4982-8d6e-c78eb8d33be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bca010-50a7-408e-a343-5a1d01faf573">
      <Terms xmlns="http://schemas.microsoft.com/office/infopath/2007/PartnerControls"/>
    </lcf76f155ced4ddcb4097134ff3c332f>
    <TaxCatchAll xmlns="33cc58d3-6ade-4982-8d6e-c78eb8d33be3" xsi:nil="true"/>
  </documentManagement>
</p:properties>
</file>

<file path=customXml/itemProps1.xml><?xml version="1.0" encoding="utf-8"?>
<ds:datastoreItem xmlns:ds="http://schemas.openxmlformats.org/officeDocument/2006/customXml" ds:itemID="{1BCD44C0-5F3E-44AE-812A-9C3F87AF6D13}"/>
</file>

<file path=customXml/itemProps2.xml><?xml version="1.0" encoding="utf-8"?>
<ds:datastoreItem xmlns:ds="http://schemas.openxmlformats.org/officeDocument/2006/customXml" ds:itemID="{A6CAFECF-A3AA-41CD-9EB8-A9BE88B0C0D8}"/>
</file>

<file path=customXml/itemProps3.xml><?xml version="1.0" encoding="utf-8"?>
<ds:datastoreItem xmlns:ds="http://schemas.openxmlformats.org/officeDocument/2006/customXml" ds:itemID="{1C32A622-4AB0-42A7-8AFC-FBA34A0561D7}"/>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Barry</dc:creator>
  <cp:keywords/>
  <dc:description/>
  <cp:lastModifiedBy>Gerard Barry</cp:lastModifiedBy>
  <cp:revision>1</cp:revision>
  <dcterms:created xsi:type="dcterms:W3CDTF">2025-11-30T21:19:00Z</dcterms:created>
  <dcterms:modified xsi:type="dcterms:W3CDTF">2025-11-30T21:21:00Z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0x0101006B093278250BA34492C05FEF43F3C794</vt:lpwstr>
  </property>
</Properties>
</file>